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DC" w:rsidRPr="00280652" w:rsidRDefault="00FF3EDC" w:rsidP="00FF3EDC">
      <w:pPr>
        <w:shd w:val="clear" w:color="auto" w:fill="FFFFFF"/>
        <w:spacing w:after="150" w:line="240" w:lineRule="auto"/>
        <w:ind w:firstLine="480"/>
        <w:rPr>
          <w:rFonts w:ascii="Verdana" w:eastAsia="Times New Roman" w:hAnsi="Verdana" w:cs="Times New Roman"/>
          <w:sz w:val="20"/>
          <w:szCs w:val="20"/>
        </w:rPr>
      </w:pPr>
      <w:r w:rsidRPr="00280652">
        <w:rPr>
          <w:rFonts w:ascii="Verdana" w:eastAsia="Times New Roman" w:hAnsi="Verdana" w:cs="Times New Roman"/>
          <w:sz w:val="20"/>
          <w:szCs w:val="20"/>
        </w:rPr>
        <w:t>На основу члана 110. став 5. и члана 112. став 4. Закона о основама система образовања и васпитања („Службени гласник РС”, бр. 88/17 и 27/18 – други закон),</w:t>
      </w:r>
    </w:p>
    <w:p w:rsidR="00FF3EDC" w:rsidRPr="00280652" w:rsidRDefault="00FF3EDC" w:rsidP="00FF3EDC">
      <w:pPr>
        <w:shd w:val="clear" w:color="auto" w:fill="FFFFFF"/>
        <w:spacing w:after="150" w:line="240" w:lineRule="auto"/>
        <w:ind w:firstLine="480"/>
        <w:rPr>
          <w:rFonts w:ascii="Verdana" w:eastAsia="Times New Roman" w:hAnsi="Verdana" w:cs="Times New Roman"/>
          <w:sz w:val="20"/>
          <w:szCs w:val="20"/>
        </w:rPr>
      </w:pPr>
      <w:r w:rsidRPr="00280652">
        <w:rPr>
          <w:rFonts w:ascii="Verdana" w:eastAsia="Times New Roman" w:hAnsi="Verdana" w:cs="Times New Roman"/>
          <w:sz w:val="20"/>
          <w:szCs w:val="20"/>
        </w:rPr>
        <w:t>Министар просвете, науке и технолошког развоја доноси</w:t>
      </w:r>
    </w:p>
    <w:p w:rsidR="00FF3EDC" w:rsidRPr="00280652" w:rsidRDefault="00FF3EDC" w:rsidP="00FF3EDC">
      <w:pPr>
        <w:shd w:val="clear" w:color="auto" w:fill="FFFFFF"/>
        <w:spacing w:before="225" w:after="225" w:line="240" w:lineRule="auto"/>
        <w:ind w:firstLine="480"/>
        <w:jc w:val="center"/>
        <w:rPr>
          <w:rFonts w:ascii="Verdana" w:eastAsia="Times New Roman" w:hAnsi="Verdana" w:cs="Times New Roman"/>
          <w:b/>
          <w:bCs/>
          <w:sz w:val="20"/>
          <w:szCs w:val="20"/>
        </w:rPr>
      </w:pPr>
      <w:r w:rsidRPr="00280652">
        <w:rPr>
          <w:rFonts w:ascii="Verdana" w:eastAsia="Times New Roman" w:hAnsi="Verdana" w:cs="Times New Roman"/>
          <w:b/>
          <w:bCs/>
          <w:sz w:val="20"/>
          <w:szCs w:val="20"/>
        </w:rPr>
        <w:t>ПРАВИЛНИК</w:t>
      </w:r>
    </w:p>
    <w:p w:rsidR="00FF3EDC" w:rsidRPr="00280652" w:rsidRDefault="00FF3EDC" w:rsidP="00FF3EDC">
      <w:pPr>
        <w:shd w:val="clear" w:color="auto" w:fill="FFFFFF"/>
        <w:spacing w:before="225" w:after="225" w:line="240" w:lineRule="auto"/>
        <w:ind w:firstLine="480"/>
        <w:jc w:val="center"/>
        <w:rPr>
          <w:rFonts w:ascii="Verdana" w:eastAsia="Times New Roman" w:hAnsi="Verdana" w:cs="Times New Roman"/>
          <w:b/>
          <w:bCs/>
          <w:sz w:val="20"/>
          <w:szCs w:val="20"/>
        </w:rPr>
      </w:pPr>
      <w:r w:rsidRPr="00280652">
        <w:rPr>
          <w:rFonts w:ascii="Verdana" w:eastAsia="Times New Roman" w:hAnsi="Verdana" w:cs="Times New Roman"/>
          <w:b/>
          <w:bCs/>
          <w:sz w:val="20"/>
          <w:szCs w:val="20"/>
        </w:rPr>
        <w:t>о поступању установе у случају сумње или утврђеног дискриминаторног понашања и вређања угледа, части или достојанства личности</w:t>
      </w:r>
    </w:p>
    <w:p w:rsidR="00FF3EDC" w:rsidRPr="00280652" w:rsidRDefault="00FF3EDC" w:rsidP="00FF3EDC">
      <w:pPr>
        <w:shd w:val="clear" w:color="auto" w:fill="FFFFFF"/>
        <w:spacing w:after="150" w:line="240" w:lineRule="auto"/>
        <w:ind w:firstLine="480"/>
        <w:jc w:val="center"/>
        <w:rPr>
          <w:rFonts w:ascii="Verdana" w:eastAsia="Times New Roman" w:hAnsi="Verdana" w:cs="Times New Roman"/>
          <w:sz w:val="20"/>
          <w:szCs w:val="20"/>
        </w:rPr>
      </w:pPr>
      <w:r w:rsidRPr="00280652">
        <w:rPr>
          <w:rFonts w:ascii="Verdana" w:eastAsia="Times New Roman" w:hAnsi="Verdana" w:cs="Times New Roman"/>
          <w:sz w:val="20"/>
          <w:szCs w:val="20"/>
        </w:rPr>
        <w:t>"Службени гласник РС", број 65 од 24. августа 2018.</w:t>
      </w:r>
    </w:p>
    <w:p w:rsidR="00FF3EDC" w:rsidRPr="00280652" w:rsidRDefault="00FF3EDC" w:rsidP="00FF3EDC">
      <w:pPr>
        <w:shd w:val="clear" w:color="auto" w:fill="FFFFFF"/>
        <w:spacing w:before="330" w:after="120" w:line="240" w:lineRule="auto"/>
        <w:ind w:firstLine="480"/>
        <w:jc w:val="center"/>
        <w:rPr>
          <w:rFonts w:ascii="Verdana" w:eastAsia="Times New Roman" w:hAnsi="Verdana" w:cs="Times New Roman"/>
          <w:sz w:val="20"/>
          <w:szCs w:val="20"/>
        </w:rPr>
      </w:pPr>
      <w:r w:rsidRPr="00280652">
        <w:rPr>
          <w:rFonts w:ascii="Verdana" w:eastAsia="Times New Roman" w:hAnsi="Verdana" w:cs="Times New Roman"/>
          <w:sz w:val="20"/>
          <w:szCs w:val="20"/>
        </w:rPr>
        <w:t>Члан 1.</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Термини изражени у овом правилнику у граматичком мушком роду, подразумевају природни мушки и женски род лица на које се односе.</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Члан 2.</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Поступање установе, начин спровођења превентивних и интервентних активности, права, обавеза и одговорности и друга питања из члана 1. овог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Члан 3.</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Овај правилник ступа на снагу осмог дана од дана објављивања у „Службеном гласнику Републике Србије”, а примењује се од школске 2018/2019. године.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Број 110-00-00520/2018-04</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Београду, 14. јуна 2018. године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Министар,</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Младен Шарчевић, </w:t>
      </w:r>
      <w:r w:rsidRPr="00280652">
        <w:rPr>
          <w:rFonts w:ascii="Verdana" w:eastAsia="Times New Roman" w:hAnsi="Verdana" w:cs="Times New Roman"/>
          <w:sz w:val="20"/>
          <w:szCs w:val="20"/>
        </w:rPr>
        <w:t>с.р.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ПРИЛОГ</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УВОДНИ ДЕО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lastRenderedPageBreak/>
        <w:t>Чланом 21. 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Чланом 23. став 1. Устава Републике Србије прокламовано је да је људско достојанство неприкосновено и сви су дужни да га поштују и штите.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Посебан значај има Конвенција о правима детета из 1989. године (у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Значење појмова и израза у овом акту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Учесник у образовању, у смислу овог акта, јесте дете, ученик и одрасли уписан у установу.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чињења</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врше дискриминацију у процесу образовања и васпитања или у вези са њим, у свим релацијама.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Насилно понашање није у сваком случају дискриминаторно, али свако дискриминаторно јесте насилно.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ПРЕВЕНЦИЈА ДИСКРИМИНАЦИЈЕ, ВРЕЂАЊА УГЛЕДА, ЧАСТИ 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Права, обавезе и одговорности лица у превенцији дискриминације и понашања којима се вређа углед, част и достојанство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Програм превенције дискриминаторног понашања и вређања угледа, части или достојанства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предшколског, односно школског програма и развојног плана, а конкретизује се годишњим планом рада установе.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Програм превенције садржи: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6) облике и садржаје рада са учесницима у образовању који трпе, чине или сведоче дискриминаторно понашање;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7) начине, облике и садржаје сарадње са родитељима, јединицом локалне самоуправе, надлежним органима, службама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учесталост дискриминаторног понашања и број поднетих пријава, притужби, односно кривичних пријава;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распрострањеност различитих облика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број лица изложених дискриминаторном понашању;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учесталост и број васпитно-дисциплинских поступака против ученика и дисциплинских поступака против запослених због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(6) степен и квалитет укључености родитеља у спречавање свих облика дискриминације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(7) остварене обуке стручног усавршавања за спречавање дискриминаторног понашања и потребе даљег усавршавања.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Тим за заштиту од дискриминације, насиља, злостављања и занемаривања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Установа има тим за заштиту од дискриминације, насиља, злостављања и занемаривања (у даљем тексту: тим за заштиту).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Осим надлежности поступања у ситуацијама насиља, злостављања и занемаривања, задаци тима за заштиту јесу, нарочито, да: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анализира стање у остваривању равноправности и једнаких могућности;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припрема програм превенције;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информише учеснике у образовању, запослене и родитеље о планираним активностима и могућностима пружања подршке и помоћи;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учествује у пројектима и обукама за развијање потребних знања и вештина за превенцију и поступање у случајевима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6) укључује родитеље у планирање мера и спровођење активности за спречавање и сузбијање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образује тим за заштиту.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Седницама тима за заштиту могу да присуствују представници ученичког парламента и савета родитеља.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ситуацијама када се примети да постоји одступање од прописаних принципа, тим за заштиту реагује у сарадњи са органима установе.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ИНТЕРВЕНЦИЈА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Сексизам, у смислу овог акта, подразумева уверење и понашање засновано на ставу да је мушки пол супериоран у односу на женски.</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Ксенофобија, у смислу овог акта, подразумева интензивно и ирационално исказивање мржње према странцима.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Исламофобија, у смислу овог акта, подразумева мржњу, нетрпељивост и предрасуде према исламу и муслиманима.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Антисемитизам</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у смислу овог акта, подразумева мржњу, нетрпељивост и предрасуде према Јеврејима, као религијској групи или нацији. </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Аблеизам, у смислу овог акта, подразумева негативне предрасуде у односу на лица са сметњама у развоју и инвалидитетом.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дискриминаторног понашања запосленог утврђује се одговорност у дисциплинском поступку, у складу са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Мотив или намера извршиоца дискриминације није од значаја.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Матрица за процену ризика од дискриминаторног понашања учесника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узраст учесника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интензитет, трајање и учесталост дискриминаторног понашања;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облик и начин дискриминаторног понашања – узнемиравање и понижавајуће поступање;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последица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Елементи матрице јесу:</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1) узраст учесника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када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када се узрасно старији учесник у образовању понаша дискриминаторно према млађем лицу, квалификује се као други ниво;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када група учесника у образовању дискриминаторно понаша према лицу или другој групи, квалификује се као трећи ниво.</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2) интензитет, трајање и учесталост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Поновљена дискриминација, у смислу овог акта,</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3) облик и начин дискриминаторног понашања – узнемиравање и понижавајуће поступање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узнемирености или одбачености, шири страх или непријатељство, односно ствара понижавајуће и увредљиво окружење.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4) последица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Покренут прекршајни или судски поступак, не утиче на предузимање интервентних мера и активности.</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Примери појединих типичних ситуација дискриминаторног понашања учесника у образовању, су: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излагање подсмеху учесника у образовању по основу његове националности;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омаловажавање учесника у образовању или групе по основу њиховог личног својства;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имитирање хода, говора, изгледа или било какво друго излагање подсмеху учесника у образовању са сметњама у развоју или инвалидитетом;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ословљавање погрдним називима учесника у образовању или групе, запосленог или родитеља – припадника одређене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изражавање стереотипа и предрасуда о припадницима одређене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причање увредљивих и понижавајућих шала и вицева о припадницима одређене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промовисање родних стереотипа у вези са очекивањима, успесима и достигнућима девојчица и дечака;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певање увредљивих и понижавајућих песама о припадницима одређене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слање увредљивих и понижавајућих порука одређеном лицу или групи лица путем СМС-а, ММС-а или друштвених мрежа;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вербално привилеговање припадника већинске групе лица неоправданим и прекомерним похвалама;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неоправдано вербално умањивање или снижавање доприноса и успеха припадника мањинске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игнорисање и избегавање контаката са учесником образовања због његовог личног својства;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одбијање да седи у клупи са другим учесником образовања због његовог личног својства;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омаловажавање родитеља ученика по основу личног својства.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Дискриминаторно понашање када је извршилац дискриминације запослени или треће лице у установи</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i/>
          <w:iCs/>
          <w:sz w:val="20"/>
          <w:szCs w:val="20"/>
        </w:rPr>
      </w:pPr>
      <w:r w:rsidRPr="00280652">
        <w:rPr>
          <w:rFonts w:ascii="Verdana" w:eastAsia="Times New Roman" w:hAnsi="Verdana" w:cs="Times New Roman"/>
          <w:i/>
          <w:iCs/>
          <w:sz w:val="20"/>
          <w:szCs w:val="20"/>
        </w:rPr>
        <w:t>Стављање у неповољнији положај</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Примери појединих типичних ситуација стављања у неповољнији положај учесника у образовању су: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одбијање уписа учесника у образовању због његовог личног својства;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фактичко скраћивање или сужавање плана и програма наставе и учења намењено учеснику у образовању из осетљиве друштвене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необезбеђивање додатне образовне подршке, односно индивидуализованог рада детету и ученику коме је таква помоћ потребна;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неоправдана примена нижих критеријума за оцењивање ученика и одраслих ромске националности;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необезбеђивање наставног материјала прилагођеног учесницима образовања са инвалидитетом и сметњама у развоју;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необезбеђивање исхране детету и ученику прилагођене његовим потребама;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неукључивање ученика из осетљивих друштвених група у ученичке парламенте и слично;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изостанак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изостављање учесника у образовању из појединих активности у току наставе због његових личних својстава;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давање неоправданих погодности учеснику у образовању због личних својстава или социјалног статуса његових родитеља;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необавештавање родитеља детета и ученика из осетљиве друштвене групе о родитељском састанку;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пропуштање запосленог да реагује у случају сумње на занемаривање учесника у образовању из осетљиве друштвене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искључивање деце и ученика из осетљивих група из вршњачких активности у оквиру слободног времена у установи.</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i/>
          <w:iCs/>
          <w:sz w:val="20"/>
          <w:szCs w:val="20"/>
        </w:rPr>
      </w:pPr>
      <w:r w:rsidRPr="00280652">
        <w:rPr>
          <w:rFonts w:ascii="Verdana" w:eastAsia="Times New Roman" w:hAnsi="Verdana" w:cs="Times New Roman"/>
          <w:i/>
          <w:iCs/>
          <w:sz w:val="20"/>
          <w:szCs w:val="20"/>
        </w:rPr>
        <w:t>Тешки облици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је физички напад мотивисан мржњом, установа предузима и активности као у случајевима насиља трећег нивоа.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Поједини примери тешких облика дискриминације су: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неоправдано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излагање руглу ученика који је тражио заштиту од дискриминације (виктимизација);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неоправдано смањивање оцене ученику чији је родитељ пријавио дискриминацију над дететом (виктимизација);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позивање на насиље према припадницима ЛГБТИ популације путем друштвених мрежа (хомофобија);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континуирано омаловажавање истог учесника у образовању по основу његовог личног својства које дуже траје (продужена дискриминација);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физички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ПОСТУПАЊЕ УСТАНОВЕ У СЛУЧАЈУ ДИСКРИМИНАТОРНОГ ПОНАШАЊА УЧЕСНИКА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Установа поступа у складу са овим актом увек када је учесник у образовању дискриминисано лице, извршилац дискриминације, односно сведок.</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Редослед поступања у интервенцији зависи од тога да ли се дискриминаторно понашање припрема, догађа или се догодило.</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Редослед поступања у интервенцији је следећи:</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1) Проверавање добијене информације</w:t>
      </w:r>
      <w:r w:rsidRPr="00280652">
        <w:rPr>
          <w:rFonts w:ascii="Verdana" w:eastAsia="Times New Roman" w:hAnsi="Verdana" w:cs="Times New Roman"/>
          <w:sz w:val="20"/>
          <w:szCs w:val="20"/>
        </w:rPr>
        <w:t>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Када родитељ пријави директору непримерено понашање запосленог према његовом детету, директор поступа у складу са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2) Заустављање дискриминаторног понашања и смиривање учесника </w:t>
      </w:r>
      <w:r w:rsidRPr="00280652">
        <w:rPr>
          <w:rFonts w:ascii="Verdana" w:eastAsia="Times New Roman" w:hAnsi="Verdana" w:cs="Times New Roman"/>
          <w:sz w:val="20"/>
          <w:szCs w:val="20"/>
        </w:rPr>
        <w:t>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3) Обавештавање и позивање родитеља</w:t>
      </w:r>
      <w:r w:rsidRPr="00280652">
        <w:rPr>
          <w:rFonts w:ascii="Verdana" w:eastAsia="Times New Roman" w:hAnsi="Verdana" w:cs="Times New Roman"/>
          <w:sz w:val="20"/>
          <w:szCs w:val="20"/>
        </w:rPr>
        <w:t>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4) Прикупљање релевантних информација и консултације</w:t>
      </w:r>
      <w:r w:rsidRPr="00280652">
        <w:rPr>
          <w:rFonts w:ascii="Verdana" w:eastAsia="Times New Roman" w:hAnsi="Verdana" w:cs="Times New Roman"/>
          <w:sz w:val="20"/>
          <w:szCs w:val="20"/>
        </w:rPr>
        <w:t>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5) Предузимање мера и активности</w:t>
      </w:r>
      <w:r w:rsidRPr="00280652">
        <w:rPr>
          <w:rFonts w:ascii="Verdana" w:eastAsia="Times New Roman" w:hAnsi="Verdana" w:cs="Times New Roman"/>
          <w:sz w:val="20"/>
          <w:szCs w:val="20"/>
        </w:rPr>
        <w:t>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6)</w:t>
      </w:r>
      <w:r w:rsidRPr="00280652">
        <w:rPr>
          <w:rFonts w:ascii="Verdana" w:eastAsia="Times New Roman" w:hAnsi="Verdana" w:cs="Times New Roman"/>
          <w:sz w:val="20"/>
          <w:szCs w:val="20"/>
        </w:rPr>
        <w:t> </w:t>
      </w:r>
      <w:r w:rsidRPr="00280652">
        <w:rPr>
          <w:rFonts w:ascii="Verdana" w:eastAsia="Times New Roman" w:hAnsi="Verdana" w:cs="Times New Roman"/>
          <w:b/>
          <w:bCs/>
          <w:sz w:val="20"/>
          <w:szCs w:val="20"/>
        </w:rPr>
        <w:t>Праћење ефеката предузетих мера и активности прати установа</w:t>
      </w:r>
      <w:r w:rsidRPr="00280652">
        <w:rPr>
          <w:rFonts w:ascii="Verdana" w:eastAsia="Times New Roman" w:hAnsi="Verdana" w:cs="Times New Roman"/>
          <w:sz w:val="20"/>
          <w:szCs w:val="20"/>
        </w:rPr>
        <w:t>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ПОСТУПАЊЕ УСТАНОВЕ У СЛУЧАЈУ ДИСКРИМИНАТОРНОГ ПОНАШАЊА ЗАПОСЛЕНОГ ПРЕМА УЧЕСНИКУ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Сазнање о дискриминаторном понашању запосленог у установи може да се добије: опажањем, сумњом</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b/>
          <w:bCs/>
          <w:sz w:val="20"/>
          <w:szCs w:val="20"/>
        </w:rPr>
        <w:t>Редослед поступања у интервенцији </w:t>
      </w:r>
      <w:r w:rsidRPr="00280652">
        <w:rPr>
          <w:rFonts w:ascii="Verdana" w:eastAsia="Times New Roman" w:hAnsi="Verdana" w:cs="Times New Roman"/>
          <w:sz w:val="20"/>
          <w:szCs w:val="20"/>
        </w:rPr>
        <w:t>зависи од тога да ли се на основу информације дискриминаторно понашање запосленог припрема, догађа или се догодило.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Редослед поступања у интервенцији 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w:t>
      </w:r>
      <w:r w:rsidRPr="00280652">
        <w:rPr>
          <w:rFonts w:ascii="Verdana" w:eastAsia="Times New Roman" w:hAnsi="Verdana" w:cs="Times New Roman"/>
          <w:b/>
          <w:bCs/>
          <w:sz w:val="20"/>
          <w:szCs w:val="20"/>
        </w:rPr>
        <w:t>Заустављање дискриминаторног понашања </w:t>
      </w:r>
      <w:r w:rsidRPr="00280652">
        <w:rPr>
          <w:rFonts w:ascii="Verdana" w:eastAsia="Times New Roman" w:hAnsi="Verdana" w:cs="Times New Roman"/>
          <w:sz w:val="20"/>
          <w:szCs w:val="20"/>
        </w:rPr>
        <w:t>је</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обавеза</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сваког лица које има сазнање о дискриминаторном понашању да реагује прекидањем таквог поступања запосленог и позивањем помоћи.</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w:t>
      </w:r>
      <w:r w:rsidRPr="00280652">
        <w:rPr>
          <w:rFonts w:ascii="Verdana" w:eastAsia="Times New Roman" w:hAnsi="Verdana" w:cs="Times New Roman"/>
          <w:b/>
          <w:bCs/>
          <w:sz w:val="20"/>
          <w:szCs w:val="20"/>
        </w:rPr>
        <w:t>Смиривање ситуације</w:t>
      </w:r>
      <w:r w:rsidRPr="00280652">
        <w:rPr>
          <w:rFonts w:ascii="Verdana" w:eastAsia="Times New Roman" w:hAnsi="Verdana" w:cs="Times New Roman"/>
          <w:sz w:val="20"/>
          <w:szCs w:val="20"/>
        </w:rPr>
        <w:t> подразумева обезбеђивање сигурности и подршке за учесника у образовању.</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w:t>
      </w:r>
      <w:r w:rsidRPr="00280652">
        <w:rPr>
          <w:rFonts w:ascii="Verdana" w:eastAsia="Times New Roman" w:hAnsi="Verdana" w:cs="Times New Roman"/>
          <w:b/>
          <w:bCs/>
          <w:sz w:val="20"/>
          <w:szCs w:val="20"/>
        </w:rPr>
        <w:t>Обавештавање и позивање родитеља</w:t>
      </w:r>
      <w:r w:rsidRPr="00280652">
        <w:rPr>
          <w:rFonts w:ascii="Verdana" w:eastAsia="Times New Roman" w:hAnsi="Verdana" w:cs="Times New Roman"/>
          <w:sz w:val="20"/>
          <w:szCs w:val="20"/>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w:t>
      </w:r>
      <w:r w:rsidRPr="00280652">
        <w:rPr>
          <w:rFonts w:ascii="Verdana" w:eastAsia="Times New Roman" w:hAnsi="Verdana" w:cs="Times New Roman"/>
          <w:b/>
          <w:bCs/>
          <w:sz w:val="20"/>
          <w:szCs w:val="20"/>
        </w:rPr>
        <w:t>Подношење пријаве директору установе </w:t>
      </w:r>
      <w:r w:rsidRPr="00280652">
        <w:rPr>
          <w:rFonts w:ascii="Verdana" w:eastAsia="Times New Roman" w:hAnsi="Verdana" w:cs="Times New Roman"/>
          <w:sz w:val="20"/>
          <w:szCs w:val="20"/>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5) </w:t>
      </w:r>
      <w:r w:rsidRPr="00280652">
        <w:rPr>
          <w:rFonts w:ascii="Verdana" w:eastAsia="Times New Roman" w:hAnsi="Verdana" w:cs="Times New Roman"/>
          <w:b/>
          <w:bCs/>
          <w:sz w:val="20"/>
          <w:szCs w:val="20"/>
        </w:rPr>
        <w:t>Консултације тима за заштиту</w:t>
      </w:r>
      <w:r w:rsidRPr="00280652">
        <w:rPr>
          <w:rFonts w:ascii="Verdana" w:eastAsia="Times New Roman" w:hAnsi="Verdana" w:cs="Times New Roman"/>
          <w:sz w:val="20"/>
          <w:szCs w:val="20"/>
        </w:rPr>
        <w:t>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 односно васпитач у сарадњи са тимом, информише родитеље и укључује их даље у васпитни рад или план заштите.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6) </w:t>
      </w:r>
      <w:r w:rsidRPr="00280652">
        <w:rPr>
          <w:rFonts w:ascii="Verdana" w:eastAsia="Times New Roman" w:hAnsi="Verdana" w:cs="Times New Roman"/>
          <w:b/>
          <w:bCs/>
          <w:sz w:val="20"/>
          <w:szCs w:val="20"/>
        </w:rPr>
        <w:t>Обавештавање</w:t>
      </w:r>
      <w:r w:rsidRPr="00280652">
        <w:rPr>
          <w:rFonts w:ascii="Verdana" w:eastAsia="Times New Roman" w:hAnsi="Verdana" w:cs="Times New Roman"/>
          <w:sz w:val="20"/>
          <w:szCs w:val="20"/>
        </w:rPr>
        <w:t> </w:t>
      </w:r>
      <w:r w:rsidRPr="00280652">
        <w:rPr>
          <w:rFonts w:ascii="Verdana" w:eastAsia="Times New Roman" w:hAnsi="Verdana" w:cs="Times New Roman"/>
          <w:b/>
          <w:bCs/>
          <w:sz w:val="20"/>
          <w:szCs w:val="20"/>
        </w:rPr>
        <w:t>Министарства</w:t>
      </w:r>
      <w:r w:rsidRPr="00280652">
        <w:rPr>
          <w:rFonts w:ascii="Verdana" w:eastAsia="Times New Roman" w:hAnsi="Verdana" w:cs="Times New Roman"/>
          <w:sz w:val="20"/>
          <w:szCs w:val="20"/>
        </w:rPr>
        <w:t> – </w:t>
      </w:r>
      <w:r w:rsidRPr="00280652">
        <w:rPr>
          <w:rFonts w:ascii="Verdana" w:eastAsia="Times New Roman" w:hAnsi="Verdana" w:cs="Times New Roman"/>
          <w:b/>
          <w:bCs/>
          <w:sz w:val="20"/>
          <w:szCs w:val="20"/>
        </w:rPr>
        <w:t>надлежне школске управе</w:t>
      </w:r>
      <w:r w:rsidRPr="00280652">
        <w:rPr>
          <w:rFonts w:ascii="Verdana" w:eastAsia="Times New Roman" w:hAnsi="Verdana" w:cs="Times New Roman"/>
          <w:sz w:val="20"/>
          <w:szCs w:val="20"/>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280652">
        <w:rPr>
          <w:rFonts w:ascii="Verdana" w:eastAsia="Times New Roman" w:hAnsi="Verdana" w:cs="Times New Roman"/>
          <w:b/>
          <w:bCs/>
          <w:sz w:val="20"/>
          <w:szCs w:val="20"/>
        </w:rPr>
        <w:t>.</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7) </w:t>
      </w:r>
      <w:r w:rsidRPr="00280652">
        <w:rPr>
          <w:rFonts w:ascii="Verdana" w:eastAsia="Times New Roman" w:hAnsi="Verdana" w:cs="Times New Roman"/>
          <w:b/>
          <w:bCs/>
          <w:sz w:val="20"/>
          <w:szCs w:val="20"/>
        </w:rPr>
        <w:t>Праћење ефеката</w:t>
      </w:r>
      <w:r w:rsidRPr="00280652">
        <w:rPr>
          <w:rFonts w:ascii="Verdana" w:eastAsia="Times New Roman" w:hAnsi="Verdana" w:cs="Times New Roman"/>
          <w:sz w:val="20"/>
          <w:szCs w:val="20"/>
        </w:rPr>
        <w:t> предузетих мера заштитних мера према дискриминисаном лицу и сведоку–учеснику у образовању врши се континуирано.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Документација, анализа и извештавање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спровођењу превентивних и интервентних мера и активности установа: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прати остваривање програма заштите установе;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евидентира све случајеве дискриминације у установи;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прати остваривање конкретних планова заштите;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4) анализира стање и извештава.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Овлашћено лице у установи има обавезу да ажурира податке о дискриминацији.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СЕГРЕГАЦИЈА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Сегрегација представља издвајање учесника у образовању на основу личног својства, и то када се: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2) образују засебне групе или одељења из разлога који није у складу са Законом и посебним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Aко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ПРЕВЕНЦИЈА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Превентивне активности установе на спречавању 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циљу спречавања сегрегације установа спроводи следеће активности: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активности које су усмерене на подизање свести запослених у установи и родитеља о препознавању и мерама за спречавање 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w:t>
      </w:r>
    </w:p>
    <w:p w:rsidR="00FF3EDC" w:rsidRPr="00280652" w:rsidRDefault="00FF3EDC" w:rsidP="00280652">
      <w:pPr>
        <w:shd w:val="clear" w:color="auto" w:fill="FFFFFF"/>
        <w:spacing w:before="330" w:after="12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ИНТЕРВЕНЦИЈА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сумње у постојање сегрегације, свако има право да иницира њено утврђивање.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податкe чији је руковалац, у складу са Законом.</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w:t>
      </w:r>
      <w:r w:rsidRPr="00280652">
        <w:rPr>
          <w:rFonts w:ascii="Verdana" w:eastAsia="Times New Roman" w:hAnsi="Verdana" w:cs="Times New Roman"/>
          <w:b/>
          <w:bCs/>
          <w:sz w:val="20"/>
          <w:szCs w:val="20"/>
        </w:rPr>
        <w:t> </w:t>
      </w:r>
      <w:r w:rsidRPr="00280652">
        <w:rPr>
          <w:rFonts w:ascii="Verdana" w:eastAsia="Times New Roman" w:hAnsi="Verdana" w:cs="Times New Roman"/>
          <w:sz w:val="20"/>
          <w:szCs w:val="20"/>
        </w:rPr>
        <w:t>надлежне органе, министра, школску управу Министарства и јединицу локалне самоуправе о предузетим мерама и обавештава их о њиховим ефектима.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Мере и активности које се спроводе у установи у процесу десегрегације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установи у којој се препозна да постоји сегрегација састав тима за заштиту проширује се у складу са потребом 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припрема план десегрегације;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координира и прати спровођење плана десегрегације кроз мере и активности примерене специфичностима ситуације сегрегације у установи</w:t>
      </w:r>
      <w:r w:rsidRPr="00280652">
        <w:rPr>
          <w:rFonts w:ascii="Verdana" w:eastAsia="Times New Roman" w:hAnsi="Verdana" w:cs="Times New Roman"/>
          <w:b/>
          <w:bCs/>
          <w:sz w:val="20"/>
          <w:szCs w:val="20"/>
        </w:rPr>
        <w:t>.</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Тим за заштиту у поступку израде плана десегрегације консултује и активно укључује: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родитеље деце и ученика који су изложени сегрегацији;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децу и ученике који су изложени сегрегацији;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представнике родитеља деце и ученика из већинске заједнице;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представнике ученичког парламента;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представника органа јединице локалне самоуправе надлежног за послове образовања;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представника центра за социјални рад;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представника дома здравља;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представника организације које се баве заштитом људских права.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Трајање мера десегрегације зависи и од чињеница које су утицале на појаву сегрегације и околности у којима се дешава десегрегација.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p w:rsidR="00FF3EDC" w:rsidRPr="00280652" w:rsidRDefault="00FF3EDC" w:rsidP="00280652">
      <w:pPr>
        <w:shd w:val="clear" w:color="auto" w:fill="FFFFFF"/>
        <w:spacing w:after="0" w:line="240" w:lineRule="auto"/>
        <w:ind w:firstLine="480"/>
        <w:jc w:val="both"/>
        <w:rPr>
          <w:rFonts w:ascii="Verdana" w:eastAsia="Times New Roman" w:hAnsi="Verdana" w:cs="Times New Roman"/>
          <w:b/>
          <w:bCs/>
          <w:sz w:val="20"/>
          <w:szCs w:val="20"/>
        </w:rPr>
      </w:pPr>
      <w:r w:rsidRPr="00280652">
        <w:rPr>
          <w:rFonts w:ascii="Verdana" w:eastAsia="Times New Roman" w:hAnsi="Verdana" w:cs="Times New Roman"/>
          <w:b/>
          <w:bCs/>
          <w:sz w:val="20"/>
          <w:szCs w:val="20"/>
        </w:rPr>
        <w:t>Мере које се примењују за појединачно дете и ученика током процеса десегрегације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У зависности од врстe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p w:rsidR="00FF3EDC" w:rsidRPr="00280652" w:rsidRDefault="00FF3EDC" w:rsidP="00280652">
      <w:pPr>
        <w:shd w:val="clear" w:color="auto" w:fill="FFFFFF"/>
        <w:spacing w:after="150" w:line="240" w:lineRule="auto"/>
        <w:ind w:firstLine="480"/>
        <w:jc w:val="both"/>
        <w:rPr>
          <w:rFonts w:ascii="Verdana" w:eastAsia="Times New Roman" w:hAnsi="Verdana" w:cs="Times New Roman"/>
          <w:sz w:val="20"/>
          <w:szCs w:val="20"/>
        </w:rPr>
      </w:pPr>
      <w:r w:rsidRPr="00280652">
        <w:rPr>
          <w:rFonts w:ascii="Verdana" w:eastAsia="Times New Roman" w:hAnsi="Verdana" w:cs="Times New Roman"/>
          <w:sz w:val="20"/>
          <w:szCs w:val="20"/>
        </w:rPr>
        <w:t>– организовање распореда седења деце и ученика у оквиру одељења или групе који подразумева честе ротације.</w:t>
      </w:r>
    </w:p>
    <w:p w:rsidR="00FF3EDC" w:rsidRPr="00280652" w:rsidRDefault="00FF3EDC" w:rsidP="00280652">
      <w:pPr>
        <w:shd w:val="clear" w:color="auto" w:fill="FFFFFF"/>
        <w:spacing w:after="0" w:line="240" w:lineRule="auto"/>
        <w:jc w:val="both"/>
        <w:outlineLvl w:val="4"/>
        <w:rPr>
          <w:rFonts w:ascii="inherit" w:eastAsia="Times New Roman" w:hAnsi="inherit" w:cs="Arial"/>
          <w:color w:val="333333"/>
          <w:sz w:val="20"/>
          <w:szCs w:val="20"/>
        </w:rPr>
      </w:pPr>
      <w:r w:rsidRPr="00280652">
        <w:rPr>
          <w:rFonts w:ascii="inherit" w:eastAsia="Times New Roman" w:hAnsi="inherit" w:cs="Arial"/>
          <w:color w:val="333333"/>
          <w:sz w:val="20"/>
          <w:szCs w:val="20"/>
        </w:rPr>
        <w:t>О акту</w:t>
      </w:r>
    </w:p>
    <w:p w:rsidR="00FF3EDC" w:rsidRPr="00280652" w:rsidRDefault="00FF3EDC" w:rsidP="00280652">
      <w:pPr>
        <w:shd w:val="clear" w:color="auto" w:fill="FFFFFF"/>
        <w:spacing w:after="0" w:line="240" w:lineRule="auto"/>
        <w:jc w:val="both"/>
        <w:outlineLvl w:val="4"/>
        <w:rPr>
          <w:rFonts w:ascii="inherit" w:eastAsia="Times New Roman" w:hAnsi="inherit" w:cs="Arial"/>
          <w:color w:val="333333"/>
          <w:sz w:val="20"/>
          <w:szCs w:val="20"/>
        </w:rPr>
      </w:pPr>
      <w:r w:rsidRPr="00280652">
        <w:rPr>
          <w:rFonts w:ascii="inherit" w:eastAsia="Times New Roman" w:hAnsi="inherit" w:cs="Arial"/>
          <w:color w:val="333333"/>
          <w:sz w:val="20"/>
          <w:szCs w:val="20"/>
        </w:rPr>
        <w:t>Структура прописа</w:t>
      </w:r>
    </w:p>
    <w:p w:rsidR="00FF3EDC" w:rsidRPr="00280652" w:rsidRDefault="00FF3EDC" w:rsidP="00280652">
      <w:pPr>
        <w:shd w:val="clear" w:color="auto" w:fill="FFFFFF"/>
        <w:spacing w:line="240" w:lineRule="auto"/>
        <w:jc w:val="both"/>
        <w:outlineLvl w:val="4"/>
        <w:rPr>
          <w:rFonts w:ascii="inherit" w:eastAsia="Times New Roman" w:hAnsi="inherit" w:cs="Arial"/>
          <w:color w:val="333333"/>
          <w:sz w:val="20"/>
          <w:szCs w:val="20"/>
        </w:rPr>
      </w:pPr>
      <w:r w:rsidRPr="00280652">
        <w:rPr>
          <w:rFonts w:ascii="inherit" w:eastAsia="Times New Roman" w:hAnsi="inherit" w:cs="Arial"/>
          <w:color w:val="333333"/>
          <w:sz w:val="20"/>
          <w:szCs w:val="20"/>
        </w:rPr>
        <w:t>Преглед гласила у PDF-у</w:t>
      </w:r>
    </w:p>
    <w:p w:rsidR="00F958C3" w:rsidRPr="00280652" w:rsidRDefault="00F958C3" w:rsidP="00280652">
      <w:pPr>
        <w:jc w:val="both"/>
        <w:rPr>
          <w:sz w:val="20"/>
          <w:szCs w:val="20"/>
        </w:rPr>
      </w:pPr>
      <w:bookmarkStart w:id="0" w:name="_GoBack"/>
      <w:bookmarkEnd w:id="0"/>
    </w:p>
    <w:sectPr w:rsidR="00F958C3" w:rsidRPr="00280652" w:rsidSect="00280652">
      <w:pgSz w:w="12240" w:h="15840"/>
      <w:pgMar w:top="1440" w:right="117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3"/>
    <w:rsid w:val="00280652"/>
    <w:rsid w:val="00F958C3"/>
    <w:rsid w:val="00FE36E3"/>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3E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3EDC"/>
    <w:rPr>
      <w:rFonts w:ascii="Times New Roman" w:eastAsia="Times New Roman" w:hAnsi="Times New Roman" w:cs="Times New Roman"/>
      <w:b/>
      <w:bCs/>
      <w:sz w:val="20"/>
      <w:szCs w:val="20"/>
    </w:rPr>
  </w:style>
  <w:style w:type="paragraph" w:customStyle="1" w:styleId="basic-paragraph">
    <w:name w:val="basic-paragraph"/>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F3EDC"/>
  </w:style>
  <w:style w:type="paragraph" w:customStyle="1" w:styleId="auto-style2">
    <w:name w:val="auto-style2"/>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3E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3EDC"/>
    <w:rPr>
      <w:rFonts w:ascii="Times New Roman" w:eastAsia="Times New Roman" w:hAnsi="Times New Roman" w:cs="Times New Roman"/>
      <w:b/>
      <w:bCs/>
      <w:sz w:val="20"/>
      <w:szCs w:val="20"/>
    </w:rPr>
  </w:style>
  <w:style w:type="paragraph" w:customStyle="1" w:styleId="basic-paragraph">
    <w:name w:val="basic-paragraph"/>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F3EDC"/>
  </w:style>
  <w:style w:type="paragraph" w:customStyle="1" w:styleId="auto-style2">
    <w:name w:val="auto-style2"/>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FF3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6052">
      <w:bodyDiv w:val="1"/>
      <w:marLeft w:val="0"/>
      <w:marRight w:val="0"/>
      <w:marTop w:val="0"/>
      <w:marBottom w:val="0"/>
      <w:divBdr>
        <w:top w:val="none" w:sz="0" w:space="0" w:color="auto"/>
        <w:left w:val="none" w:sz="0" w:space="0" w:color="auto"/>
        <w:bottom w:val="none" w:sz="0" w:space="0" w:color="auto"/>
        <w:right w:val="none" w:sz="0" w:space="0" w:color="auto"/>
      </w:divBdr>
      <w:divsChild>
        <w:div w:id="371419743">
          <w:marLeft w:val="3415"/>
          <w:marRight w:val="0"/>
          <w:marTop w:val="0"/>
          <w:marBottom w:val="0"/>
          <w:divBdr>
            <w:top w:val="none" w:sz="0" w:space="0" w:color="auto"/>
            <w:left w:val="none" w:sz="0" w:space="0" w:color="auto"/>
            <w:bottom w:val="none" w:sz="0" w:space="0" w:color="auto"/>
            <w:right w:val="none" w:sz="0" w:space="0" w:color="auto"/>
          </w:divBdr>
          <w:divsChild>
            <w:div w:id="729887221">
              <w:marLeft w:val="0"/>
              <w:marRight w:val="0"/>
              <w:marTop w:val="0"/>
              <w:marBottom w:val="0"/>
              <w:divBdr>
                <w:top w:val="single" w:sz="12" w:space="4" w:color="CCCCCC"/>
                <w:left w:val="none" w:sz="0" w:space="0" w:color="auto"/>
                <w:bottom w:val="none" w:sz="0" w:space="0" w:color="auto"/>
                <w:right w:val="none" w:sz="0" w:space="0" w:color="auto"/>
              </w:divBdr>
              <w:divsChild>
                <w:div w:id="11641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3713">
          <w:marLeft w:val="0"/>
          <w:marRight w:val="0"/>
          <w:marTop w:val="0"/>
          <w:marBottom w:val="0"/>
          <w:divBdr>
            <w:top w:val="none" w:sz="0" w:space="0" w:color="auto"/>
            <w:left w:val="none" w:sz="0" w:space="0" w:color="auto"/>
            <w:bottom w:val="none" w:sz="0" w:space="0" w:color="auto"/>
            <w:right w:val="none" w:sz="0" w:space="0" w:color="auto"/>
          </w:divBdr>
          <w:divsChild>
            <w:div w:id="1293556873">
              <w:marLeft w:val="0"/>
              <w:marRight w:val="0"/>
              <w:marTop w:val="0"/>
              <w:marBottom w:val="300"/>
              <w:divBdr>
                <w:top w:val="none" w:sz="0" w:space="0" w:color="auto"/>
                <w:left w:val="none" w:sz="0" w:space="0" w:color="auto"/>
                <w:bottom w:val="none" w:sz="0" w:space="0" w:color="auto"/>
                <w:right w:val="none" w:sz="0" w:space="0" w:color="auto"/>
              </w:divBdr>
              <w:divsChild>
                <w:div w:id="1309362883">
                  <w:marLeft w:val="0"/>
                  <w:marRight w:val="0"/>
                  <w:marTop w:val="0"/>
                  <w:marBottom w:val="0"/>
                  <w:divBdr>
                    <w:top w:val="single" w:sz="6" w:space="0" w:color="DDDDDD"/>
                    <w:left w:val="single" w:sz="6" w:space="0" w:color="DDDDDD"/>
                    <w:bottom w:val="single" w:sz="6" w:space="0" w:color="DDDDDD"/>
                    <w:right w:val="single" w:sz="6" w:space="0" w:color="DDDDDD"/>
                  </w:divBdr>
                  <w:divsChild>
                    <w:div w:id="1967855026">
                      <w:marLeft w:val="0"/>
                      <w:marRight w:val="0"/>
                      <w:marTop w:val="0"/>
                      <w:marBottom w:val="0"/>
                      <w:divBdr>
                        <w:top w:val="none" w:sz="0" w:space="0" w:color="auto"/>
                        <w:left w:val="none" w:sz="0" w:space="0" w:color="auto"/>
                        <w:bottom w:val="none" w:sz="0" w:space="0" w:color="auto"/>
                        <w:right w:val="none" w:sz="0" w:space="0" w:color="auto"/>
                      </w:divBdr>
                    </w:div>
                  </w:divsChild>
                </w:div>
                <w:div w:id="763918504">
                  <w:marLeft w:val="0"/>
                  <w:marRight w:val="0"/>
                  <w:marTop w:val="75"/>
                  <w:marBottom w:val="0"/>
                  <w:divBdr>
                    <w:top w:val="single" w:sz="6" w:space="0" w:color="DDDDDD"/>
                    <w:left w:val="single" w:sz="6" w:space="0" w:color="DDDDDD"/>
                    <w:bottom w:val="single" w:sz="6" w:space="0" w:color="DDDDDD"/>
                    <w:right w:val="single" w:sz="6" w:space="0" w:color="DDDDDD"/>
                  </w:divBdr>
                  <w:divsChild>
                    <w:div w:id="1150055710">
                      <w:marLeft w:val="0"/>
                      <w:marRight w:val="0"/>
                      <w:marTop w:val="0"/>
                      <w:marBottom w:val="0"/>
                      <w:divBdr>
                        <w:top w:val="none" w:sz="0" w:space="0" w:color="auto"/>
                        <w:left w:val="none" w:sz="0" w:space="0" w:color="auto"/>
                        <w:bottom w:val="none" w:sz="0" w:space="0" w:color="auto"/>
                        <w:right w:val="none" w:sz="0" w:space="0" w:color="auto"/>
                      </w:divBdr>
                    </w:div>
                  </w:divsChild>
                </w:div>
                <w:div w:id="6256239">
                  <w:marLeft w:val="0"/>
                  <w:marRight w:val="0"/>
                  <w:marTop w:val="75"/>
                  <w:marBottom w:val="0"/>
                  <w:divBdr>
                    <w:top w:val="single" w:sz="6" w:space="0" w:color="DDDDDD"/>
                    <w:left w:val="single" w:sz="6" w:space="0" w:color="DDDDDD"/>
                    <w:bottom w:val="single" w:sz="6" w:space="0" w:color="DDDDDD"/>
                    <w:right w:val="single" w:sz="6" w:space="0" w:color="DDDDDD"/>
                  </w:divBdr>
                  <w:divsChild>
                    <w:div w:id="1592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9431</Words>
  <Characters>53758</Characters>
  <Application>Microsoft Office Word</Application>
  <DocSecurity>0</DocSecurity>
  <Lines>447</Lines>
  <Paragraphs>126</Paragraphs>
  <ScaleCrop>false</ScaleCrop>
  <Company/>
  <LinksUpToDate>false</LinksUpToDate>
  <CharactersWithSpaces>63063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3</cp:revision>
  <dcterms:created xsi:type="dcterms:W3CDTF">2023-08-30T07:46:00Z</dcterms:created>
  <dcterms:modified xsi:type="dcterms:W3CDTF">2023-08-30T07:47:00Z</dcterms:modified>
</cp:coreProperties>
</file>